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30" w:lineRule="atLeast"/>
        <w:jc w:val="center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夯实畜产品安全基础，推动畜牧业高质量发展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 xml:space="preserve">宜昌市夷陵区动物疫病预防控制中心     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 xml:space="preserve">余   波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40" w:firstLineChars="200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民以食为天，食以安为先。当前，我区畜产品质量虽然总体安全可控，但随着经济社会的快速发展，广大人民群众安全消费的理念与日俱增，现有的生产方式和监管能力亟待调整和加强，以满足人民对美好生活向往的需求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 w:firstLine="643" w:firstLineChars="200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一、基本现状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（一）我区畜牧业生产发展现状。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据统计，截止20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年底，全区畜禽养殖场户共约9.6万户，其中规模养殖场共2193户，兽药经营主体31家，饲料生产经营主体46家，畜禽屠宰场（点）7家。20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年全区出栏生猪9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09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万头，家禽6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24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07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万只，肉牛1.0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头，肉羊10.0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万只，奶牛存栏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761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头，鲜奶产量为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5085.4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万吨，蜜蜂存笼29121群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畜牧业总产值达到4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（二）我区监管机构队伍现状。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2007年5月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我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根据国务院改革精神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成立了夷陵区动物卫生监督所，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2012年11月更名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夷陵区动物卫生监督局，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为承担行政执法职能的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全额预算副科级事业单位，核定编制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42人，配备执法车辆5台。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承担全区</w:t>
      </w:r>
      <w:r>
        <w:rPr>
          <w:rFonts w:hint="eastAsia" w:ascii="楷体" w:hAnsi="楷体" w:eastAsia="楷体" w:cs="楷体"/>
          <w:kern w:val="0"/>
          <w:sz w:val="32"/>
          <w:szCs w:val="32"/>
        </w:rPr>
        <w:t>动物防疫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、动物检疫、生鲜乳</w:t>
      </w:r>
      <w:r>
        <w:rPr>
          <w:rFonts w:hint="eastAsia" w:ascii="楷体" w:hAnsi="楷体" w:eastAsia="楷体" w:cs="楷体"/>
          <w:kern w:val="0"/>
          <w:sz w:val="32"/>
          <w:szCs w:val="32"/>
        </w:rPr>
        <w:t>兽药饲料及添加剂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32"/>
          <w:szCs w:val="32"/>
        </w:rPr>
        <w:t>动物诊疗人员机构资格资质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32"/>
          <w:szCs w:val="32"/>
        </w:rPr>
        <w:t>动物防疫条件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32"/>
          <w:szCs w:val="32"/>
        </w:rPr>
        <w:t>兽医政药政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32"/>
          <w:szCs w:val="32"/>
        </w:rPr>
        <w:t>畜禽屠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屠</w:t>
      </w:r>
      <w:r>
        <w:rPr>
          <w:rFonts w:hint="eastAsia" w:ascii="楷体" w:hAnsi="楷体" w:eastAsia="楷体" w:cs="楷体"/>
          <w:kern w:val="0"/>
          <w:sz w:val="32"/>
          <w:szCs w:val="32"/>
        </w:rPr>
        <w:t>宰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32"/>
          <w:szCs w:val="32"/>
        </w:rPr>
        <w:t>畜牧兽医行业违法案件查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处等监督管理职能</w:t>
      </w:r>
      <w:r>
        <w:rPr>
          <w:rFonts w:hint="eastAsia" w:ascii="楷体" w:hAnsi="楷体" w:eastAsia="楷体" w:cs="楷体"/>
          <w:kern w:val="0"/>
          <w:sz w:val="32"/>
          <w:szCs w:val="32"/>
        </w:rPr>
        <w:t>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内设综合股、动物防疫检疫监督股和兽药饲料监督股。下设小溪塔、龙泉、乐天溪和黄花4个区域性动物卫生监督所，实行区域管理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体制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从2016年开始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，为妥善解决动物卫生监督机构未延伸到基层、具体工作无法有序开展的难题，全区以本级项目的形式聘请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了24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名乡镇协检员协助官方兽医工作，将监管职能延伸到乡镇，以“以钱养事”的形式聘请了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名村级防疫员实行“两专五员”管理，将协助检疫的职能延伸到村，基本形成了区、镇、村三级畜产品质量安全监管网络，实现了产地—运输—屠宰—无害化处理全程监管格局。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（三）我区畜产品质量安全现状。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近年来，在区委区政府的高度重视下，我区不断完善制度、加大投入、落实保障、强化监管，畜牧业持续健康发展，饲料兽药等投入品抽检合格率达100%，“瘦肉精”等违禁物检出率为零，未发生重大畜产品质量安全事件，全区畜产品质量总体安全可控。2013年，我区被农业部纳入全国208个病死动物无害化处理长效机制建设试点县，全省现场会随即在我区隆重召开；2014年，我区在全省率先建成第一个畜产品质量安全视频监控中心，极大地提升了工作效率和监管水平；2015年，全区12家屠宰场点全部按照省市要求转型升级达标；2016年，我区探索形成的区、乡、村自上而下网格化监管模式在全省借鉴推广；2017年，我区兽药GSP经营再规范专项行动整治成效得到省局高度评价；2018年，我区依托</w:t>
      </w:r>
      <w:r>
        <w:rPr>
          <w:rFonts w:hint="eastAsia" w:ascii="楷体" w:hAnsi="楷体" w:eastAsia="楷体" w:cs="楷体"/>
          <w:color w:val="auto"/>
          <w:sz w:val="32"/>
          <w:szCs w:val="32"/>
          <w:lang w:val="zh-CN" w:eastAsia="zh-CN"/>
        </w:rPr>
        <w:t>国家兽药产品追溯系统、信用湖北、全省违禁物快速检测直传系统、e卡通信息系统、全省病死动物无害化处理信息监管系统、全区畜产品质量远程视频监控系统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“六大平台”强力推进畜产品品质提升行动，并在年底综合考评中荣获全省第一；2019年，我区严格落实非洲猪瘟防控“两项制度”，督促生猪屠宰企业完善自检能力，将全区12个屠宰场整合为7个，按照要求派驻官方兽医23人，畜产品质量安全水平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主要做法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（一）大力推进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绿色发展</w:t>
      </w:r>
      <w:r>
        <w:rPr>
          <w:rFonts w:hint="eastAsia" w:ascii="楷体" w:hAnsi="楷体" w:eastAsia="楷体" w:cs="楷体"/>
          <w:sz w:val="32"/>
          <w:szCs w:val="32"/>
        </w:rPr>
        <w:t>，从生产源头确保畜产品安全。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一是坚持生态养殖。以创建畜牧业绿色发展示范县为契机，先后建成生态猪养殖示范点3个、生态养殖示范村4个、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省部级标准化示范场18个、生态猪养殖示范乡镇2个、绿色生态养殖示范基地5个，其中分乡镇成功入围“全市生态猪养殖示范乡镇”。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二是坚持资源化利用。依托畜禽粪污资源化利用整县推进项目，大力推广种养结合、还田利用、养殖环境综合改造等治理模式，完成养殖场（户）基础设施改造项目35个，建成生物发酵床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92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个、粪污发酵处理池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556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个、粪污转运还田利用小循环模式2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个、“农牧结合”中循环模式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11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个，水肥一体化模式5个，畜禽废弃物分散收集处理中心6个；新建沼气池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89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个，新安装除臭设备14个25套；建成有机肥深加工基地1个，畜禽废弃物综合处理中心1个，可处理周边6万吨以上的畜禽养殖废弃物。带动全区畜牧业提质增效、转型升级，绿色畜牧初见成效，从源头为畜产品安全奠定了良好的基础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扎实开展动物防疫，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确保不发生区域性重大动物疫情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楷体" w:hAnsi="楷体" w:eastAsia="楷体" w:cs="楷体"/>
          <w:sz w:val="32"/>
          <w:szCs w:val="32"/>
        </w:rPr>
        <w:t>一是严守基础免疫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，全面落实“季防月补”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强制免疫病种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常年</w:t>
      </w:r>
      <w:r>
        <w:rPr>
          <w:rFonts w:hint="eastAsia" w:ascii="楷体" w:hAnsi="楷体" w:eastAsia="楷体" w:cs="楷体"/>
          <w:sz w:val="32"/>
          <w:szCs w:val="32"/>
        </w:rPr>
        <w:t>免疫密度达到100%，抗体合格率达到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 w:cs="楷体"/>
          <w:sz w:val="32"/>
          <w:szCs w:val="32"/>
        </w:rPr>
        <w:t>5%。二是严格疫病净化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，加大</w:t>
      </w:r>
      <w:r>
        <w:rPr>
          <w:rFonts w:hint="eastAsia" w:ascii="楷体" w:hAnsi="楷体" w:eastAsia="楷体" w:cs="楷体"/>
          <w:sz w:val="32"/>
          <w:szCs w:val="32"/>
        </w:rPr>
        <w:t>奶牛“两病”、羊布病等人畜共患病的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检测净化力度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积极</w:t>
      </w:r>
      <w:r>
        <w:rPr>
          <w:rFonts w:hint="eastAsia" w:ascii="楷体" w:hAnsi="楷体" w:eastAsia="楷体" w:cs="楷体"/>
          <w:sz w:val="32"/>
          <w:szCs w:val="32"/>
        </w:rPr>
        <w:t>推进布病净化示范区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、示范场达标</w:t>
      </w:r>
      <w:r>
        <w:rPr>
          <w:rFonts w:hint="eastAsia" w:ascii="楷体" w:hAnsi="楷体" w:eastAsia="楷体" w:cs="楷体"/>
          <w:sz w:val="32"/>
          <w:szCs w:val="32"/>
        </w:rPr>
        <w:t>创建。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是严防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重大疫情，始终</w:t>
      </w:r>
      <w:r>
        <w:rPr>
          <w:rFonts w:hint="eastAsia" w:ascii="楷体" w:hAnsi="楷体" w:eastAsia="楷体" w:cs="楷体"/>
          <w:sz w:val="32"/>
          <w:szCs w:val="32"/>
        </w:rPr>
        <w:t>坚持宣传培训、组织排查、源头管控、免疫监管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、应急处置“五到位”原则，严防重大动物疫情发生。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四是严格无害化处理，充分发挥4个动物无害化处理中心和全省信息监管平台的辐射、监管作用，全区病死动物实现全收集、全处理、全覆盖、全监管。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（三）聚焦“四个”专项整治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规范生产经营行为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一是扎实开展“瘦肉精”等违禁物专项整治，严格按照抽检比例抽检，未检出阳性。二是着力推进兽药经营专项整治，完成了48家兽药经营企业“再规范”行动，保留GSP门店7家，转型为乡村兽医诊疗点27家，注销14家。三是持续加强生猪屠宰专项整治，以“扫雷行动”为重点，规范“五本台账”、“两章两证”管理，确保过程全监管、安全可溯源。四是不断强化生鲜乳专项整治，以俏牛儿、喜旺2个奶站为重点，每月开展突击检查、随机抽检不低于2次，强化生产、收购、运输环节监管，督促“三表一单”的规范管理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积极</w:t>
      </w:r>
      <w:r>
        <w:rPr>
          <w:rFonts w:hint="eastAsia" w:ascii="楷体" w:hAnsi="楷体" w:eastAsia="楷体" w:cs="楷体"/>
          <w:sz w:val="32"/>
          <w:szCs w:val="32"/>
        </w:rPr>
        <w:t>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进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“三品一标”</w:t>
      </w:r>
      <w:r>
        <w:rPr>
          <w:rFonts w:hint="eastAsia" w:ascii="楷体" w:hAnsi="楷体" w:eastAsia="楷体" w:cs="楷体"/>
          <w:sz w:val="32"/>
          <w:szCs w:val="32"/>
        </w:rPr>
        <w:t>认证，全力打造品牌效应。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一是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鼓励企业“走出去”参与各类农博会和品鉴活动，提升品牌影响力和市场占有率，先后培育了“山牧”土黑猪、“小蛮牛”黄牛肉、“老高荒”羊肉、“小禾园林”鸡等多个生态畜产品品牌，品牌培育取得历史性突破。二是加速推进“三品一标”认证，引领畜牧产业向标准化生产、品牌化发展转型。截止目前，全区共完成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畜产品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“三品一标”认证20个，其中国家地理标识“宜昌白山羊”品牌价值达176.78亿元，位列全国畜牧水产类品牌第二位。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（五）不断强化部门监管责任，筑牢畜产品安全防线。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不断健全以区级官方兽医+乡镇协检员+村级防疫员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自上而下的监管服务网络，将监管服务延伸到最后一公里。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年完成畜禽产地检疫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563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万头（只、羽）、动物产品检疫1.1万吨、各级抽检3.01万批次。二在全面疏理的基础上编印了涵盖14项监管职责的《夷陵区动物卫生监督规范》，规范了日常监管行为。与此同时，不断加强日常巡查监管，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全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年开展执法检查2761次，其中“双随机”检查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6次，配合综合行政执法局立案查处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5起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涉牧案件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，有效打击了畜产品质量安全领域的违法行为。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三、存在问题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1"/>
        <w:jc w:val="left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（一）高质量发展的基础不稳固。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当前，全区畜牧生产标准化、专业化水平普遍不高，生物安全防范意识不强，特别是散养户对健康养殖和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防疫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安全认识不足，部分养殖户对病死猪的处置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缺乏规范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，对疫病防控和畜产品安全都构成不同程度的风险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1"/>
        <w:jc w:val="left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（二）基层监管机构队伍不健全。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全区面临监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管对象点多面广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但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乡镇动物卫生机制不健全、防检监督员派驻不到位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的困境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，更多情况下仅依靠乡镇协检员和村级防疫员开展工作，隐患较大。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）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联动监管的合作不够。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畜牧兽医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、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综合执法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、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市场监督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等部门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仍然存在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职能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界限不清、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工作协调不够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的矛盾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，很容易出现“都管都不管”的局面，形成畜产品安全的监管“真空”。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（四）畜产品深加工能力不足。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全区12家生猪屠宰场自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去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年“两项制度”百日行动实施以来，5家被关停，剩余7家屠宰场仍然存在品种单一、标准不高、工艺落后、深加工能力缺失等突出问题。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四、措施对策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年是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“十四五”开局之年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，广大人民群众的畜产品质量安全是我们当前以及今后的工作重点。必须坚持畜产品质量安全既是“产”出来的、也是“管”出来的理念，既要抓好“产”这个源头，又要强化“管”这个保障，“产”“管”并重、以“管”促“产”，通过畜牧业高质量发展确保畜产品质量安全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（一）着力提升全民安全意识。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 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充分利用各种会议培训方式和新兴媒体的辐射作用，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加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大对畜产品质量安全政策法规、技术标准的宣传力度，把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保障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畜产品质量安全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与推进畜牧业高质量发展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紧密结合起来，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引导消费理念从“放心肉”向“安全肉”转变，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形成全社会关心、支持畜产品质量安全的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良好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氛围。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（二）持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续推进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绿色畜牧发展。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一是从强化生物安全的角度入手，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树立“养重于防”的养殖理念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结合美丽新村建设，积极倡导绿色畜牧养殖，鼓励标准化生产、规模化经营，推进畜牧业高质量发展。二是从强化生产过程的监管入手，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利用“智慧兽医+云平台”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规范兽药饲料经营秩序，严格控制药物残留，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培育优质生态畜禽产品。三是从建立追溯制度入手，督促养殖业主完善生产、免疫、用药、饲养、监测和无害化处理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全过程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记录，加强信用体系及“黑名单”制度建设，建立畜产品市场准入制度和质量安全追溯体系。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不断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加大检疫监管力度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sz w:val="32"/>
          <w:szCs w:val="32"/>
        </w:rPr>
        <w:t>一是围绕畜产品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质量</w:t>
      </w:r>
      <w:r>
        <w:rPr>
          <w:rFonts w:hint="eastAsia" w:ascii="楷体" w:hAnsi="楷体" w:eastAsia="楷体" w:cs="楷体"/>
          <w:sz w:val="32"/>
          <w:szCs w:val="32"/>
        </w:rPr>
        <w:t>安全，从源头着手，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依托三级网络，</w:t>
      </w:r>
      <w:r>
        <w:rPr>
          <w:rFonts w:hint="eastAsia" w:ascii="楷体" w:hAnsi="楷体" w:eastAsia="楷体" w:cs="楷体"/>
          <w:sz w:val="32"/>
          <w:szCs w:val="32"/>
        </w:rPr>
        <w:t>强化产地检疫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确保监管无盲区</w:t>
      </w:r>
      <w:r>
        <w:rPr>
          <w:rFonts w:hint="eastAsia" w:ascii="楷体" w:hAnsi="楷体" w:eastAsia="楷体" w:cs="楷体"/>
          <w:sz w:val="32"/>
          <w:szCs w:val="32"/>
        </w:rPr>
        <w:t>；二是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继续推进屠宰企业“两项制度”落实，全面提升屠宰场非洲猪瘟</w:t>
      </w:r>
      <w:r>
        <w:rPr>
          <w:rFonts w:hint="eastAsia" w:ascii="楷体" w:hAnsi="楷体" w:eastAsia="楷体" w:cs="楷体"/>
          <w:sz w:val="32"/>
          <w:szCs w:val="32"/>
        </w:rPr>
        <w:t>自检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能力，不断强化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官方兽医驻场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监管。三是进一步推进屠宰场转型升级，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支持屠宰企业通过兼并、重组，提升规模化、规范化、标准化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、深加工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水平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，走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“集中屠宰、品牌经营、冷链流通、冷鲜上市”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发展之路。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（四）全面理顺监管机构队伍。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一是</w:t>
      </w:r>
      <w:r>
        <w:rPr>
          <w:rFonts w:hint="eastAsia" w:ascii="楷体" w:hAnsi="楷体" w:eastAsia="楷体" w:cs="楷体"/>
          <w:sz w:val="32"/>
          <w:szCs w:val="32"/>
        </w:rPr>
        <w:t>进一步深化机构改革，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根据</w:t>
      </w:r>
      <w:r>
        <w:rPr>
          <w:rFonts w:hint="eastAsia" w:ascii="楷体" w:hAnsi="楷体" w:eastAsia="楷体" w:cs="楷体"/>
          <w:sz w:val="32"/>
          <w:szCs w:val="32"/>
        </w:rPr>
        <w:t>国务院和省政府有关文件要求理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顺动物卫生监督从区到镇自上而下的管理</w:t>
      </w:r>
      <w:r>
        <w:rPr>
          <w:rFonts w:hint="eastAsia" w:ascii="楷体" w:hAnsi="楷体" w:eastAsia="楷体" w:cs="楷体"/>
          <w:sz w:val="32"/>
          <w:szCs w:val="32"/>
        </w:rPr>
        <w:t>体制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，在各乡镇加挂“动物卫生监督分所”，派驻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2－3名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动物卫生监督员，按标准向屠宰场派驻官方兽医。二是加大保障力度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配齐</w:t>
      </w:r>
      <w:r>
        <w:rPr>
          <w:rFonts w:hint="eastAsia" w:ascii="楷体" w:hAnsi="楷体" w:eastAsia="楷体" w:cs="楷体"/>
          <w:sz w:val="32"/>
          <w:szCs w:val="32"/>
        </w:rPr>
        <w:t>执法装备，提升检疫水平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。三是加强监管与执法的衔接，积极探索综合行政执法体制改革后监管与执法的无缝对接机制，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按照习近平总书记“四个最严”要求，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形成职责明确、齐抓共管、及时高效、</w:t>
      </w:r>
      <w:r>
        <w:rPr>
          <w:rFonts w:hint="eastAsia" w:ascii="楷体" w:hAnsi="楷体" w:eastAsia="楷体" w:cs="楷体"/>
          <w:sz w:val="32"/>
          <w:szCs w:val="32"/>
        </w:rPr>
        <w:t>打击有力的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联动执法机制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推动全区畜牧业高质量发展，夯实畜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产品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质量安全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为助力我区乡村振兴、打造富美夷陵做出应有的贡献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 w:firstLine="5120" w:firstLineChars="16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2F0B2"/>
    <w:multiLevelType w:val="singleLevel"/>
    <w:tmpl w:val="C722F0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ZThkMWZkZjI0NGU2NGI4M2JhMmQ4M2I0MjZlNDUifQ=="/>
  </w:docVars>
  <w:rsids>
    <w:rsidRoot w:val="3AE913D5"/>
    <w:rsid w:val="00B75958"/>
    <w:rsid w:val="01727E69"/>
    <w:rsid w:val="042C4E2F"/>
    <w:rsid w:val="07661B4A"/>
    <w:rsid w:val="0BCE6AFC"/>
    <w:rsid w:val="10FB37A2"/>
    <w:rsid w:val="11891AF6"/>
    <w:rsid w:val="124F73A5"/>
    <w:rsid w:val="127B7084"/>
    <w:rsid w:val="167D4F1C"/>
    <w:rsid w:val="18436909"/>
    <w:rsid w:val="18941FEC"/>
    <w:rsid w:val="196A3EEF"/>
    <w:rsid w:val="1A327EA6"/>
    <w:rsid w:val="1BD92D80"/>
    <w:rsid w:val="1CFE60D2"/>
    <w:rsid w:val="1D406E3D"/>
    <w:rsid w:val="1D8853DE"/>
    <w:rsid w:val="1EAC38C2"/>
    <w:rsid w:val="1FE61B2B"/>
    <w:rsid w:val="21F75FC7"/>
    <w:rsid w:val="22367DAC"/>
    <w:rsid w:val="23186075"/>
    <w:rsid w:val="23574ACF"/>
    <w:rsid w:val="23CB4999"/>
    <w:rsid w:val="250D3E60"/>
    <w:rsid w:val="265F2184"/>
    <w:rsid w:val="26805697"/>
    <w:rsid w:val="2705466D"/>
    <w:rsid w:val="29123118"/>
    <w:rsid w:val="2A035003"/>
    <w:rsid w:val="32C01764"/>
    <w:rsid w:val="35643ED5"/>
    <w:rsid w:val="369A2047"/>
    <w:rsid w:val="3AE913D5"/>
    <w:rsid w:val="3DE548A0"/>
    <w:rsid w:val="43E844C0"/>
    <w:rsid w:val="445356FD"/>
    <w:rsid w:val="45C519E5"/>
    <w:rsid w:val="45CB2F63"/>
    <w:rsid w:val="46576801"/>
    <w:rsid w:val="4A514D2A"/>
    <w:rsid w:val="4BAF618A"/>
    <w:rsid w:val="4CB0208C"/>
    <w:rsid w:val="4D57715C"/>
    <w:rsid w:val="50D656CD"/>
    <w:rsid w:val="52BE1DFE"/>
    <w:rsid w:val="55054F08"/>
    <w:rsid w:val="56744CF6"/>
    <w:rsid w:val="57812364"/>
    <w:rsid w:val="5B2F06FC"/>
    <w:rsid w:val="5CC43604"/>
    <w:rsid w:val="5F7971A5"/>
    <w:rsid w:val="60554713"/>
    <w:rsid w:val="60E15EC0"/>
    <w:rsid w:val="617B6B3C"/>
    <w:rsid w:val="62297D15"/>
    <w:rsid w:val="628367DC"/>
    <w:rsid w:val="65254D54"/>
    <w:rsid w:val="692926B2"/>
    <w:rsid w:val="6C6827EE"/>
    <w:rsid w:val="6DB815A1"/>
    <w:rsid w:val="6F910CCD"/>
    <w:rsid w:val="70643C87"/>
    <w:rsid w:val="735C6706"/>
    <w:rsid w:val="73A968BC"/>
    <w:rsid w:val="73F82FD1"/>
    <w:rsid w:val="78B21BF3"/>
    <w:rsid w:val="794B0237"/>
    <w:rsid w:val="79817329"/>
    <w:rsid w:val="7C766C58"/>
    <w:rsid w:val="7DB14ABA"/>
    <w:rsid w:val="7F0E3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3887</Words>
  <Characters>4025</Characters>
  <Lines>0</Lines>
  <Paragraphs>0</Paragraphs>
  <TotalTime>37</TotalTime>
  <ScaleCrop>false</ScaleCrop>
  <LinksUpToDate>false</LinksUpToDate>
  <CharactersWithSpaces>4061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2019-06-03T01:27:00Z</dcterms:created>
  <dc:creator>扬子1385018841</dc:creator>
  <cp:lastModifiedBy>余波</cp:lastModifiedBy>
  <dcterms:modified xsi:type="dcterms:W3CDTF">2022-09-26T03:59:07Z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BBD9572D915B47C8A11A7A39C87B70D2</vt:lpwstr>
  </property>
</Properties>
</file>